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Čačka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1274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Čačak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3987119" cy="2363388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70032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75485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85439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97924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110801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116808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119378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115337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105612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Tabela 1. – Ukupan broj stanovnika po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127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Čačak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0-4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5-9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10-14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15-19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20-24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25-29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30-34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35-39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40-44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45-49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50-54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55-59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60-64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65-69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70-74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75-79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80-84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85-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ukupno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70032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75485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85439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97924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7766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7437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6714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8747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10579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8575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5943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8673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9515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8521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5969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5289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110801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6885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7659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7010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7626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8949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10585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5815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8813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7776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5828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1544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116808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5876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6794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7020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7592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8896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10579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5580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7259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7433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6076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3880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2009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119378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5117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5643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5445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6272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7121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7583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7685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7190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8837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10213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5077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6129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5207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3051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1417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115337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4823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5284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5589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5018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5449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5960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7298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7458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7103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7118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8030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6860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3565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3141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2290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105612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6"/>
                <w:szCs w:val="16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  <w:t xml:space="preserve">Tabela 2. – Starosna struktura stanovnika zabeležena u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552949" cy="2724149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za Čačak ukazuju na stabilan rast broja stanovnika tokom većeg dela 20. veka, nakon čega dolazi do stagnacije i postepenog pada populacije u poslednjih nekoliko decenija. Promene u starosnoj strukturi odražavaju uobičajene demografske trendove u Srb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iji, poput smanjenja nataliteta, migracija i starenja populacije.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pStyle w:val="124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pStyle w:val="1422"/>
        <w:numPr>
          <w:ilvl w:val="0"/>
          <w:numId w:val="262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do 1991. godine:</w:t>
      </w:r>
      <w:r/>
    </w:p>
    <w:p>
      <w:pPr>
        <w:pStyle w:val="1422"/>
        <w:numPr>
          <w:ilvl w:val="0"/>
          <w:numId w:val="26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Populacija raste sa 70.032 (1948)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116.808 (1991)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Ovo je rezultat povoljnog prirodnog priraštaja i ekonomskog razvoja.</w:t>
      </w:r>
      <w:r/>
    </w:p>
    <w:p>
      <w:pPr>
        <w:pStyle w:val="1422"/>
        <w:numPr>
          <w:ilvl w:val="0"/>
          <w:numId w:val="264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i pad nakon 1991. godine:</w:t>
      </w:r>
      <w:r/>
    </w:p>
    <w:p>
      <w:pPr>
        <w:pStyle w:val="1422"/>
        <w:numPr>
          <w:ilvl w:val="0"/>
          <w:numId w:val="26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Popis iz 2002. beleži blagi porast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119.378 stanovnika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naredni popisi pokazuju postepen pad:</w:t>
      </w:r>
      <w:r/>
    </w:p>
    <w:p>
      <w:pPr>
        <w:pStyle w:val="1422"/>
        <w:numPr>
          <w:ilvl w:val="0"/>
          <w:numId w:val="26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2011: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115.337 stanovnika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422"/>
        <w:numPr>
          <w:ilvl w:val="0"/>
          <w:numId w:val="26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105.612 stanovnika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422"/>
        <w:numPr>
          <w:ilvl w:val="0"/>
          <w:numId w:val="26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Ukupni pad između 2002. i 2022. iznosi oko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11,5%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24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1422"/>
        <w:numPr>
          <w:ilvl w:val="0"/>
          <w:numId w:val="26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Stalni pad:</w:t>
      </w:r>
      <w:r/>
    </w:p>
    <w:p>
      <w:pPr>
        <w:pStyle w:val="1422"/>
        <w:numPr>
          <w:ilvl w:val="0"/>
          <w:numId w:val="27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i mladih u svim starosnim grupama opada. Na primer:</w:t>
      </w:r>
      <w:r/>
    </w:p>
    <w:p>
      <w:pPr>
        <w:pStyle w:val="1422"/>
        <w:numPr>
          <w:ilvl w:val="0"/>
          <w:numId w:val="27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godine: 7.766 (1981) → 4.823 (2022).</w:t>
      </w:r>
      <w:r/>
    </w:p>
    <w:p>
      <w:pPr>
        <w:pStyle w:val="1422"/>
        <w:numPr>
          <w:ilvl w:val="0"/>
          <w:numId w:val="27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mlađi od 20 godina:</w:t>
      </w:r>
      <w:r/>
    </w:p>
    <w:p>
      <w:pPr>
        <w:pStyle w:val="1422"/>
        <w:numPr>
          <w:ilvl w:val="0"/>
          <w:numId w:val="27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29.446 (26,5% populacije).</w:t>
      </w:r>
      <w:r/>
    </w:p>
    <w:p>
      <w:pPr>
        <w:pStyle w:val="1422"/>
        <w:numPr>
          <w:ilvl w:val="0"/>
          <w:numId w:val="27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15.748 (14,9% populacije).</w:t>
      </w:r>
      <w:r/>
    </w:p>
    <w:p>
      <w:pPr>
        <w:pStyle w:val="1422"/>
        <w:numPr>
          <w:ilvl w:val="0"/>
          <w:numId w:val="27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ukazuje na smanjenje nataliteta i sve manji prirodni priraštaj.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1422"/>
        <w:numPr>
          <w:ilvl w:val="0"/>
          <w:numId w:val="27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Blagi pad sa starenjem:</w:t>
      </w:r>
      <w:r/>
    </w:p>
    <w:p>
      <w:pPr>
        <w:pStyle w:val="1422"/>
        <w:numPr>
          <w:ilvl w:val="0"/>
          <w:numId w:val="27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radno sposobnog stanovništva ostaje relativno stabilan, ali starosna struktura unutar ove grupe se pomera ka starijim generacijama.</w:t>
      </w:r>
      <w:r/>
    </w:p>
    <w:p>
      <w:pPr>
        <w:pStyle w:val="1422"/>
        <w:numPr>
          <w:ilvl w:val="0"/>
          <w:numId w:val="27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primer:</w:t>
      </w:r>
      <w:r/>
    </w:p>
    <w:p>
      <w:pPr>
        <w:pStyle w:val="1422"/>
        <w:numPr>
          <w:ilvl w:val="0"/>
          <w:numId w:val="27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55.600 (50% populacije).</w:t>
      </w:r>
      <w:r/>
    </w:p>
    <w:p>
      <w:pPr>
        <w:pStyle w:val="1422"/>
        <w:numPr>
          <w:ilvl w:val="0"/>
          <w:numId w:val="28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51.000 (48% populacije).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1422"/>
        <w:numPr>
          <w:ilvl w:val="0"/>
          <w:numId w:val="28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rast:</w:t>
      </w:r>
      <w:r/>
    </w:p>
    <w:p>
      <w:pPr>
        <w:pStyle w:val="1422"/>
        <w:numPr>
          <w:ilvl w:val="0"/>
          <w:numId w:val="28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starijih od 60 godina beleži konstantan rast, što ukazuje na proces starenja populacije.</w:t>
      </w:r>
      <w:r/>
    </w:p>
    <w:p>
      <w:pPr>
        <w:pStyle w:val="1422"/>
        <w:numPr>
          <w:ilvl w:val="0"/>
          <w:numId w:val="28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primer:</w:t>
      </w:r>
      <w:r/>
    </w:p>
    <w:p>
      <w:pPr>
        <w:pStyle w:val="1422"/>
        <w:numPr>
          <w:ilvl w:val="0"/>
          <w:numId w:val="28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10.289 (9,3% populacije).</w:t>
      </w:r>
      <w:r/>
    </w:p>
    <w:p>
      <w:pPr>
        <w:pStyle w:val="1422"/>
        <w:numPr>
          <w:ilvl w:val="0"/>
          <w:numId w:val="28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38.864 (36,8% populacije).</w:t>
      </w:r>
      <w:r/>
    </w:p>
    <w:p>
      <w:pPr>
        <w:pStyle w:val="124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1422"/>
        <w:numPr>
          <w:ilvl w:val="0"/>
          <w:numId w:val="28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u mlađim starosnim grupama (0–4, 5–9, 10–14 godina) beleži konstantan pad. Ovo je rezultat promena u društvenim i ekonomskim uslovima, kao i urbanizacije.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Migracije:</w:t>
      </w:r>
      <w:r/>
    </w:p>
    <w:p>
      <w:pPr>
        <w:pStyle w:val="1422"/>
        <w:numPr>
          <w:ilvl w:val="0"/>
          <w:numId w:val="28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Kao i druge opštine u Srbiji, Čačak beleži odlazak mladih i radno sposobnih ka većim urbanim centrima i inostranstvu, što dodatno smanjuje prirodni priraštaj.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populacije:</w:t>
      </w:r>
      <w:r/>
    </w:p>
    <w:p>
      <w:pPr>
        <w:pStyle w:val="1422"/>
        <w:numPr>
          <w:ilvl w:val="0"/>
          <w:numId w:val="28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od 60 godina raste, dok mlađe generacije čine sve manji deo populacije. Ovo ima ozbiljne posledice po zdravstvene i socijalne sisteme.</w:t>
      </w:r>
      <w:r/>
    </w:p>
    <w:p>
      <w:pPr>
        <w:pStyle w:val="124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očekuje se dalji pad broja stanovnika, uz promene u starosnoj strukturi: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stanovnika:</w:t>
      </w:r>
      <w:r/>
    </w:p>
    <w:p>
      <w:pPr>
        <w:pStyle w:val="1422"/>
        <w:numPr>
          <w:ilvl w:val="0"/>
          <w:numId w:val="28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1422"/>
        <w:numPr>
          <w:ilvl w:val="0"/>
          <w:numId w:val="29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mogao bi pasti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97.000–100.000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422"/>
        <w:numPr>
          <w:ilvl w:val="0"/>
          <w:numId w:val="29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1422"/>
        <w:numPr>
          <w:ilvl w:val="0"/>
          <w:numId w:val="29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89.000–92.000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24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Starosna struktura:</w:t>
      </w:r>
      <w:r/>
    </w:p>
    <w:p>
      <w:pPr>
        <w:pStyle w:val="1422"/>
        <w:numPr>
          <w:ilvl w:val="0"/>
          <w:numId w:val="29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1422"/>
        <w:numPr>
          <w:ilvl w:val="0"/>
          <w:numId w:val="29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pasti na oko 13–14% populacije.</w:t>
      </w:r>
      <w:r/>
    </w:p>
    <w:p>
      <w:pPr>
        <w:pStyle w:val="1422"/>
        <w:numPr>
          <w:ilvl w:val="0"/>
          <w:numId w:val="29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1422"/>
        <w:numPr>
          <w:ilvl w:val="0"/>
          <w:numId w:val="29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porasti na 40% ukupne populacije.</w:t>
      </w:r>
      <w:r/>
    </w:p>
    <w:p>
      <w:pPr>
        <w:pStyle w:val="124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1422"/>
        <w:numPr>
          <w:ilvl w:val="0"/>
          <w:numId w:val="29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se suočava sa padom broja stanovnika, smanjenjem nataliteta, migracijama i ubrzanim starenjem populacije.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stabilizaciju populacije:</w:t>
      </w:r>
      <w:r/>
    </w:p>
    <w:p>
      <w:pPr>
        <w:pStyle w:val="1422"/>
        <w:numPr>
          <w:ilvl w:val="0"/>
          <w:numId w:val="30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nataliteta: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Subvencije za porodice sa decom, podrška za roditelje i obrazovanje.</w:t>
      </w:r>
      <w:r/>
    </w:p>
    <w:p>
      <w:pPr>
        <w:pStyle w:val="1422"/>
        <w:numPr>
          <w:ilvl w:val="0"/>
          <w:numId w:val="30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lokalne ekonomije: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Kreirati radna mesta i privući investicije kako bi se zadržala radno sposobna populacija.</w:t>
      </w:r>
      <w:r/>
    </w:p>
    <w:p>
      <w:pPr>
        <w:pStyle w:val="1422"/>
        <w:numPr>
          <w:ilvl w:val="0"/>
          <w:numId w:val="30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Prilagođavanje infrastrukture: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zdravstvenu i socijalnu infrastrukturu za stariju populaciju.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0"/>
      <w:jc w:val="right"/>
    </w:pPr>
    <w:fldSimple w:instr="PAGE \* MERGEFORMAT">
      <w:r>
        <w:t xml:space="preserve">1</w:t>
      </w:r>
    </w:fldSimple>
    <w:r/>
    <w:r/>
  </w:p>
  <w:p>
    <w:pPr>
      <w:pStyle w:val="1270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42">
    <w:name w:val="Heading 1"/>
    <w:basedOn w:val="1418"/>
    <w:next w:val="1418"/>
    <w:link w:val="12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243">
    <w:name w:val="Heading 1 Char"/>
    <w:link w:val="1242"/>
    <w:uiPriority w:val="9"/>
    <w:rPr>
      <w:rFonts w:ascii="Arial" w:hAnsi="Arial" w:eastAsia="Arial" w:cs="Arial"/>
      <w:sz w:val="40"/>
      <w:szCs w:val="40"/>
    </w:rPr>
  </w:style>
  <w:style w:type="paragraph" w:styleId="1244">
    <w:name w:val="Heading 2"/>
    <w:basedOn w:val="1418"/>
    <w:next w:val="1418"/>
    <w:link w:val="12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245">
    <w:name w:val="Heading 2 Char"/>
    <w:link w:val="1244"/>
    <w:uiPriority w:val="9"/>
    <w:rPr>
      <w:rFonts w:ascii="Arial" w:hAnsi="Arial" w:eastAsia="Arial" w:cs="Arial"/>
      <w:sz w:val="34"/>
    </w:rPr>
  </w:style>
  <w:style w:type="paragraph" w:styleId="1246">
    <w:name w:val="Heading 3"/>
    <w:basedOn w:val="1418"/>
    <w:next w:val="1418"/>
    <w:link w:val="12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247">
    <w:name w:val="Heading 3 Char"/>
    <w:link w:val="1246"/>
    <w:uiPriority w:val="9"/>
    <w:rPr>
      <w:rFonts w:ascii="Arial" w:hAnsi="Arial" w:eastAsia="Arial" w:cs="Arial"/>
      <w:sz w:val="30"/>
      <w:szCs w:val="30"/>
    </w:rPr>
  </w:style>
  <w:style w:type="paragraph" w:styleId="1248">
    <w:name w:val="Heading 4"/>
    <w:basedOn w:val="1418"/>
    <w:next w:val="1418"/>
    <w:link w:val="12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49">
    <w:name w:val="Heading 4 Char"/>
    <w:link w:val="1248"/>
    <w:uiPriority w:val="9"/>
    <w:rPr>
      <w:rFonts w:ascii="Arial" w:hAnsi="Arial" w:eastAsia="Arial" w:cs="Arial"/>
      <w:b/>
      <w:bCs/>
      <w:sz w:val="26"/>
      <w:szCs w:val="26"/>
    </w:rPr>
  </w:style>
  <w:style w:type="paragraph" w:styleId="1250">
    <w:name w:val="Heading 5"/>
    <w:basedOn w:val="1418"/>
    <w:next w:val="1418"/>
    <w:link w:val="12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51">
    <w:name w:val="Heading 5 Char"/>
    <w:link w:val="1250"/>
    <w:uiPriority w:val="9"/>
    <w:rPr>
      <w:rFonts w:ascii="Arial" w:hAnsi="Arial" w:eastAsia="Arial" w:cs="Arial"/>
      <w:b/>
      <w:bCs/>
      <w:sz w:val="24"/>
      <w:szCs w:val="24"/>
    </w:rPr>
  </w:style>
  <w:style w:type="paragraph" w:styleId="1252">
    <w:name w:val="Heading 6"/>
    <w:basedOn w:val="1418"/>
    <w:next w:val="1418"/>
    <w:link w:val="12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53">
    <w:name w:val="Heading 6 Char"/>
    <w:link w:val="1252"/>
    <w:uiPriority w:val="9"/>
    <w:rPr>
      <w:rFonts w:ascii="Arial" w:hAnsi="Arial" w:eastAsia="Arial" w:cs="Arial"/>
      <w:b/>
      <w:bCs/>
      <w:sz w:val="22"/>
      <w:szCs w:val="22"/>
    </w:rPr>
  </w:style>
  <w:style w:type="paragraph" w:styleId="1254">
    <w:name w:val="Heading 7"/>
    <w:basedOn w:val="1418"/>
    <w:next w:val="1418"/>
    <w:link w:val="12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55">
    <w:name w:val="Heading 7 Char"/>
    <w:link w:val="12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256">
    <w:name w:val="Heading 8"/>
    <w:basedOn w:val="1418"/>
    <w:next w:val="1418"/>
    <w:link w:val="12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57">
    <w:name w:val="Heading 8 Char"/>
    <w:link w:val="1256"/>
    <w:uiPriority w:val="9"/>
    <w:rPr>
      <w:rFonts w:ascii="Arial" w:hAnsi="Arial" w:eastAsia="Arial" w:cs="Arial"/>
      <w:i/>
      <w:iCs/>
      <w:sz w:val="22"/>
      <w:szCs w:val="22"/>
    </w:rPr>
  </w:style>
  <w:style w:type="paragraph" w:styleId="1258">
    <w:name w:val="Heading 9"/>
    <w:basedOn w:val="1418"/>
    <w:next w:val="1418"/>
    <w:link w:val="12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59">
    <w:name w:val="Heading 9 Char"/>
    <w:link w:val="1258"/>
    <w:uiPriority w:val="9"/>
    <w:rPr>
      <w:rFonts w:ascii="Arial" w:hAnsi="Arial" w:eastAsia="Arial" w:cs="Arial"/>
      <w:i/>
      <w:iCs/>
      <w:sz w:val="21"/>
      <w:szCs w:val="21"/>
    </w:rPr>
  </w:style>
  <w:style w:type="paragraph" w:styleId="1260">
    <w:name w:val="Title"/>
    <w:basedOn w:val="1418"/>
    <w:next w:val="1418"/>
    <w:link w:val="12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261">
    <w:name w:val="Title Char"/>
    <w:link w:val="1260"/>
    <w:uiPriority w:val="10"/>
    <w:rPr>
      <w:sz w:val="48"/>
      <w:szCs w:val="48"/>
    </w:rPr>
  </w:style>
  <w:style w:type="paragraph" w:styleId="1262">
    <w:name w:val="Subtitle"/>
    <w:basedOn w:val="1418"/>
    <w:next w:val="1418"/>
    <w:link w:val="1263"/>
    <w:uiPriority w:val="11"/>
    <w:qFormat/>
    <w:pPr>
      <w:spacing w:before="200" w:after="200"/>
    </w:pPr>
    <w:rPr>
      <w:sz w:val="24"/>
      <w:szCs w:val="24"/>
    </w:rPr>
  </w:style>
  <w:style w:type="character" w:styleId="1263">
    <w:name w:val="Subtitle Char"/>
    <w:link w:val="1262"/>
    <w:uiPriority w:val="11"/>
    <w:rPr>
      <w:sz w:val="24"/>
      <w:szCs w:val="24"/>
    </w:rPr>
  </w:style>
  <w:style w:type="paragraph" w:styleId="1264">
    <w:name w:val="Quote"/>
    <w:basedOn w:val="1418"/>
    <w:next w:val="1418"/>
    <w:link w:val="1265"/>
    <w:uiPriority w:val="29"/>
    <w:qFormat/>
    <w:pPr>
      <w:ind w:left="720" w:right="720"/>
    </w:pPr>
    <w:rPr>
      <w:i/>
    </w:rPr>
  </w:style>
  <w:style w:type="character" w:styleId="1265">
    <w:name w:val="Quote Char"/>
    <w:link w:val="1264"/>
    <w:uiPriority w:val="29"/>
    <w:rPr>
      <w:i/>
    </w:rPr>
  </w:style>
  <w:style w:type="paragraph" w:styleId="1266">
    <w:name w:val="Intense Quote"/>
    <w:basedOn w:val="1418"/>
    <w:next w:val="1418"/>
    <w:link w:val="12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267">
    <w:name w:val="Intense Quote Char"/>
    <w:link w:val="1266"/>
    <w:uiPriority w:val="30"/>
    <w:rPr>
      <w:i/>
    </w:rPr>
  </w:style>
  <w:style w:type="paragraph" w:styleId="1268">
    <w:name w:val="Header"/>
    <w:basedOn w:val="1418"/>
    <w:link w:val="12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69">
    <w:name w:val="Header Char"/>
    <w:link w:val="1268"/>
    <w:uiPriority w:val="99"/>
  </w:style>
  <w:style w:type="paragraph" w:styleId="1270">
    <w:name w:val="Footer"/>
    <w:basedOn w:val="1418"/>
    <w:link w:val="12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271">
    <w:name w:val="Footer Char"/>
    <w:link w:val="1270"/>
    <w:uiPriority w:val="99"/>
  </w:style>
  <w:style w:type="paragraph" w:styleId="1272">
    <w:name w:val="Caption"/>
    <w:basedOn w:val="1418"/>
    <w:next w:val="14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273">
    <w:name w:val="Caption Char"/>
    <w:basedOn w:val="1272"/>
    <w:link w:val="1270"/>
    <w:uiPriority w:val="99"/>
  </w:style>
  <w:style w:type="table" w:styleId="1274">
    <w:name w:val="Table Grid"/>
    <w:basedOn w:val="14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75">
    <w:name w:val="Table Grid Light"/>
    <w:basedOn w:val="14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76">
    <w:name w:val="Plain Table 1"/>
    <w:basedOn w:val="14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77">
    <w:name w:val="Plain Table 2"/>
    <w:basedOn w:val="14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78">
    <w:name w:val="Plain Table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279">
    <w:name w:val="Plain Table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0">
    <w:name w:val="Plain Table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281">
    <w:name w:val="Grid Table 1 Light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2">
    <w:name w:val="Grid Table 1 Light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3">
    <w:name w:val="Grid Table 1 Light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4">
    <w:name w:val="Grid Table 1 Light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5">
    <w:name w:val="Grid Table 1 Light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6">
    <w:name w:val="Grid Table 1 Light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7">
    <w:name w:val="Grid Table 1 Light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8">
    <w:name w:val="Grid Table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89">
    <w:name w:val="Grid Table 2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0">
    <w:name w:val="Grid Table 2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1">
    <w:name w:val="Grid Table 2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2">
    <w:name w:val="Grid Table 2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3">
    <w:name w:val="Grid Table 2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4">
    <w:name w:val="Grid Table 2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5">
    <w:name w:val="Grid Table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6">
    <w:name w:val="Grid Table 3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7">
    <w:name w:val="Grid Table 3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8">
    <w:name w:val="Grid Table 3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9">
    <w:name w:val="Grid Table 3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0">
    <w:name w:val="Grid Table 3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1">
    <w:name w:val="Grid Table 3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2">
    <w:name w:val="Grid Table 4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03">
    <w:name w:val="Grid Table 4 - Accent 1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04">
    <w:name w:val="Grid Table 4 - Accent 2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05">
    <w:name w:val="Grid Table 4 - Accent 3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06">
    <w:name w:val="Grid Table 4 - Accent 4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07">
    <w:name w:val="Grid Table 4 - Accent 5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08">
    <w:name w:val="Grid Table 4 - Accent 6"/>
    <w:basedOn w:val="14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09">
    <w:name w:val="Grid Table 5 Dark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10">
    <w:name w:val="Grid Table 5 Dark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311">
    <w:name w:val="Grid Table 5 Dark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312">
    <w:name w:val="Grid Table 5 Dark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313">
    <w:name w:val="Grid Table 5 Dark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314">
    <w:name w:val="Grid Table 5 Dark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315">
    <w:name w:val="Grid Table 5 Dark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316">
    <w:name w:val="Grid Table 6 Colorful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17">
    <w:name w:val="Grid Table 6 Colorful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18">
    <w:name w:val="Grid Table 6 Colorful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19">
    <w:name w:val="Grid Table 6 Colorful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20">
    <w:name w:val="Grid Table 6 Colorful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21">
    <w:name w:val="Grid Table 6 Colorful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22">
    <w:name w:val="Grid Table 6 Colorful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23">
    <w:name w:val="Grid Table 7 Colorful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4">
    <w:name w:val="Grid Table 7 Colorful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5">
    <w:name w:val="Grid Table 7 Colorful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6">
    <w:name w:val="Grid Table 7 Colorful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7">
    <w:name w:val="Grid Table 7 Colorful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8">
    <w:name w:val="Grid Table 7 Colorful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29">
    <w:name w:val="Grid Table 7 Colorful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0">
    <w:name w:val="List Table 1 Light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1">
    <w:name w:val="List Table 1 Light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2">
    <w:name w:val="List Table 1 Light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3">
    <w:name w:val="List Table 1 Light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4">
    <w:name w:val="List Table 1 Light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5">
    <w:name w:val="List Table 1 Light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6">
    <w:name w:val="List Table 1 Light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37">
    <w:name w:val="List Table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38">
    <w:name w:val="List Table 2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39">
    <w:name w:val="List Table 2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40">
    <w:name w:val="List Table 2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41">
    <w:name w:val="List Table 2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42">
    <w:name w:val="List Table 2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43">
    <w:name w:val="List Table 2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44">
    <w:name w:val="List Table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45">
    <w:name w:val="List Table 3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46">
    <w:name w:val="List Table 3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47">
    <w:name w:val="List Table 3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48">
    <w:name w:val="List Table 3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49">
    <w:name w:val="List Table 3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0">
    <w:name w:val="List Table 3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1">
    <w:name w:val="List Table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2">
    <w:name w:val="List Table 4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3">
    <w:name w:val="List Table 4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4">
    <w:name w:val="List Table 4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5">
    <w:name w:val="List Table 4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6">
    <w:name w:val="List Table 4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7">
    <w:name w:val="List Table 4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8">
    <w:name w:val="List Table 5 Dark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9">
    <w:name w:val="List Table 5 Dark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0">
    <w:name w:val="List Table 5 Dark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1">
    <w:name w:val="List Table 5 Dark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2">
    <w:name w:val="List Table 5 Dark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3">
    <w:name w:val="List Table 5 Dark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4">
    <w:name w:val="List Table 5 Dark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5">
    <w:name w:val="List Table 6 Colorful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66">
    <w:name w:val="List Table 6 Colorful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67">
    <w:name w:val="List Table 6 Colorful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368">
    <w:name w:val="List Table 6 Colorful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369">
    <w:name w:val="List Table 6 Colorful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370">
    <w:name w:val="List Table 6 Colorful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371">
    <w:name w:val="List Table 6 Colorful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372">
    <w:name w:val="List Table 7 Colorful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373">
    <w:name w:val="List Table 7 Colorful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374">
    <w:name w:val="List Table 7 Colorful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375">
    <w:name w:val="List Table 7 Colorful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376">
    <w:name w:val="List Table 7 Colorful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377">
    <w:name w:val="List Table 7 Colorful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378">
    <w:name w:val="List Table 7 Colorful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379">
    <w:name w:val="Lined - Accent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380">
    <w:name w:val="Lined - Accent 1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381">
    <w:name w:val="Lined - Accent 2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382">
    <w:name w:val="Lined - Accent 3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383">
    <w:name w:val="Lined - Accent 4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384">
    <w:name w:val="Lined - Accent 5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385">
    <w:name w:val="Lined - Accent 6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386">
    <w:name w:val="Bordered &amp; Lined - Accent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387">
    <w:name w:val="Bordered &amp; Lined - Accent 1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388">
    <w:name w:val="Bordered &amp; Lined - Accent 2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389">
    <w:name w:val="Bordered &amp; Lined - Accent 3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390">
    <w:name w:val="Bordered &amp; Lined - Accent 4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391">
    <w:name w:val="Bordered &amp; Lined - Accent 5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392">
    <w:name w:val="Bordered &amp; Lined - Accent 6"/>
    <w:basedOn w:val="14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393">
    <w:name w:val="Bordered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394">
    <w:name w:val="Bordered - Accent 1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395">
    <w:name w:val="Bordered - Accent 2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396">
    <w:name w:val="Bordered - Accent 3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397">
    <w:name w:val="Bordered - Accent 4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398">
    <w:name w:val="Bordered - Accent 5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399">
    <w:name w:val="Bordered - Accent 6"/>
    <w:basedOn w:val="14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00">
    <w:name w:val="Hyperlink"/>
    <w:uiPriority w:val="99"/>
    <w:unhideWhenUsed/>
    <w:rPr>
      <w:color w:val="0000ff" w:themeColor="hyperlink"/>
      <w:u w:val="single"/>
    </w:rPr>
  </w:style>
  <w:style w:type="paragraph" w:styleId="1401">
    <w:name w:val="footnote text"/>
    <w:basedOn w:val="1418"/>
    <w:link w:val="1402"/>
    <w:uiPriority w:val="99"/>
    <w:semiHidden/>
    <w:unhideWhenUsed/>
    <w:pPr>
      <w:spacing w:after="40" w:line="240" w:lineRule="auto"/>
    </w:pPr>
    <w:rPr>
      <w:sz w:val="18"/>
    </w:rPr>
  </w:style>
  <w:style w:type="character" w:styleId="1402">
    <w:name w:val="Footnote Text Char"/>
    <w:link w:val="1401"/>
    <w:uiPriority w:val="99"/>
    <w:rPr>
      <w:sz w:val="18"/>
    </w:rPr>
  </w:style>
  <w:style w:type="character" w:styleId="1403">
    <w:name w:val="footnote reference"/>
    <w:uiPriority w:val="99"/>
    <w:unhideWhenUsed/>
    <w:rPr>
      <w:vertAlign w:val="superscript"/>
    </w:rPr>
  </w:style>
  <w:style w:type="paragraph" w:styleId="1404">
    <w:name w:val="endnote text"/>
    <w:basedOn w:val="1418"/>
    <w:link w:val="1405"/>
    <w:uiPriority w:val="99"/>
    <w:semiHidden/>
    <w:unhideWhenUsed/>
    <w:pPr>
      <w:spacing w:after="0" w:line="240" w:lineRule="auto"/>
    </w:pPr>
    <w:rPr>
      <w:sz w:val="20"/>
    </w:rPr>
  </w:style>
  <w:style w:type="character" w:styleId="1405">
    <w:name w:val="Endnote Text Char"/>
    <w:link w:val="1404"/>
    <w:uiPriority w:val="99"/>
    <w:rPr>
      <w:sz w:val="20"/>
    </w:rPr>
  </w:style>
  <w:style w:type="character" w:styleId="1406">
    <w:name w:val="endnote reference"/>
    <w:uiPriority w:val="99"/>
    <w:semiHidden/>
    <w:unhideWhenUsed/>
    <w:rPr>
      <w:vertAlign w:val="superscript"/>
    </w:rPr>
  </w:style>
  <w:style w:type="paragraph" w:styleId="1407">
    <w:name w:val="toc 1"/>
    <w:basedOn w:val="1418"/>
    <w:next w:val="1418"/>
    <w:uiPriority w:val="39"/>
    <w:unhideWhenUsed/>
    <w:pPr>
      <w:ind w:left="0" w:right="0" w:firstLine="0"/>
      <w:spacing w:after="57"/>
    </w:pPr>
  </w:style>
  <w:style w:type="paragraph" w:styleId="1408">
    <w:name w:val="toc 2"/>
    <w:basedOn w:val="1418"/>
    <w:next w:val="1418"/>
    <w:uiPriority w:val="39"/>
    <w:unhideWhenUsed/>
    <w:pPr>
      <w:ind w:left="283" w:right="0" w:firstLine="0"/>
      <w:spacing w:after="57"/>
    </w:pPr>
  </w:style>
  <w:style w:type="paragraph" w:styleId="1409">
    <w:name w:val="toc 3"/>
    <w:basedOn w:val="1418"/>
    <w:next w:val="1418"/>
    <w:uiPriority w:val="39"/>
    <w:unhideWhenUsed/>
    <w:pPr>
      <w:ind w:left="567" w:right="0" w:firstLine="0"/>
      <w:spacing w:after="57"/>
    </w:pPr>
  </w:style>
  <w:style w:type="paragraph" w:styleId="1410">
    <w:name w:val="toc 4"/>
    <w:basedOn w:val="1418"/>
    <w:next w:val="1418"/>
    <w:uiPriority w:val="39"/>
    <w:unhideWhenUsed/>
    <w:pPr>
      <w:ind w:left="850" w:right="0" w:firstLine="0"/>
      <w:spacing w:after="57"/>
    </w:pPr>
  </w:style>
  <w:style w:type="paragraph" w:styleId="1411">
    <w:name w:val="toc 5"/>
    <w:basedOn w:val="1418"/>
    <w:next w:val="1418"/>
    <w:uiPriority w:val="39"/>
    <w:unhideWhenUsed/>
    <w:pPr>
      <w:ind w:left="1134" w:right="0" w:firstLine="0"/>
      <w:spacing w:after="57"/>
    </w:pPr>
  </w:style>
  <w:style w:type="paragraph" w:styleId="1412">
    <w:name w:val="toc 6"/>
    <w:basedOn w:val="1418"/>
    <w:next w:val="1418"/>
    <w:uiPriority w:val="39"/>
    <w:unhideWhenUsed/>
    <w:pPr>
      <w:ind w:left="1417" w:right="0" w:firstLine="0"/>
      <w:spacing w:after="57"/>
    </w:pPr>
  </w:style>
  <w:style w:type="paragraph" w:styleId="1413">
    <w:name w:val="toc 7"/>
    <w:basedOn w:val="1418"/>
    <w:next w:val="1418"/>
    <w:uiPriority w:val="39"/>
    <w:unhideWhenUsed/>
    <w:pPr>
      <w:ind w:left="1701" w:right="0" w:firstLine="0"/>
      <w:spacing w:after="57"/>
    </w:pPr>
  </w:style>
  <w:style w:type="paragraph" w:styleId="1414">
    <w:name w:val="toc 8"/>
    <w:basedOn w:val="1418"/>
    <w:next w:val="1418"/>
    <w:uiPriority w:val="39"/>
    <w:unhideWhenUsed/>
    <w:pPr>
      <w:ind w:left="1984" w:right="0" w:firstLine="0"/>
      <w:spacing w:after="57"/>
    </w:pPr>
  </w:style>
  <w:style w:type="paragraph" w:styleId="1415">
    <w:name w:val="toc 9"/>
    <w:basedOn w:val="1418"/>
    <w:next w:val="1418"/>
    <w:uiPriority w:val="39"/>
    <w:unhideWhenUsed/>
    <w:pPr>
      <w:ind w:left="2268" w:right="0" w:firstLine="0"/>
      <w:spacing w:after="57"/>
    </w:pPr>
  </w:style>
  <w:style w:type="paragraph" w:styleId="1416">
    <w:name w:val="TOC Heading"/>
    <w:uiPriority w:val="39"/>
    <w:unhideWhenUsed/>
  </w:style>
  <w:style w:type="paragraph" w:styleId="1417">
    <w:name w:val="table of figures"/>
    <w:basedOn w:val="1418"/>
    <w:next w:val="1418"/>
    <w:uiPriority w:val="99"/>
    <w:unhideWhenUsed/>
    <w:pPr>
      <w:spacing w:after="0" w:afterAutospacing="0"/>
    </w:pPr>
  </w:style>
  <w:style w:type="paragraph" w:styleId="1418" w:default="1">
    <w:name w:val="Normal"/>
    <w:qFormat/>
  </w:style>
  <w:style w:type="table" w:styleId="1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20" w:default="1">
    <w:name w:val="No List"/>
    <w:uiPriority w:val="99"/>
    <w:semiHidden/>
    <w:unhideWhenUsed/>
  </w:style>
  <w:style w:type="paragraph" w:styleId="1421">
    <w:name w:val="No Spacing"/>
    <w:basedOn w:val="1418"/>
    <w:uiPriority w:val="1"/>
    <w:qFormat/>
    <w:pPr>
      <w:spacing w:after="0" w:line="240" w:lineRule="auto"/>
    </w:pPr>
  </w:style>
  <w:style w:type="paragraph" w:styleId="1422">
    <w:name w:val="List Paragraph"/>
    <w:basedOn w:val="1418"/>
    <w:uiPriority w:val="34"/>
    <w:qFormat/>
    <w:pPr>
      <w:contextualSpacing/>
      <w:ind w:left="720"/>
    </w:pPr>
  </w:style>
  <w:style w:type="character" w:styleId="142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Čačka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Čačak!$C$22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Čačak!$B$23:$B$31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Čačak!$C$23:$C$31</c:f>
              <c:numCache>
                <c:formatCode>General</c:formatCode>
                <c:ptCount val="9"/>
                <c:pt idx="0">
                  <c:v>70032</c:v>
                </c:pt>
                <c:pt idx="1">
                  <c:v>75485</c:v>
                </c:pt>
                <c:pt idx="2">
                  <c:v>85439</c:v>
                </c:pt>
                <c:pt idx="3">
                  <c:v>97924</c:v>
                </c:pt>
                <c:pt idx="4">
                  <c:v>110801</c:v>
                </c:pt>
                <c:pt idx="5">
                  <c:v>116808</c:v>
                </c:pt>
                <c:pt idx="6">
                  <c:v>119378</c:v>
                </c:pt>
                <c:pt idx="7">
                  <c:v>115337</c:v>
                </c:pt>
                <c:pt idx="8">
                  <c:v>105612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111"/>
        <c:axId val="511722112"/>
      </c:lineChart>
      <c:catAx>
        <c:axId val="5117221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112"/>
        <c:crosses val="autoZero"/>
        <c:auto val="1"/>
        <c:lblAlgn val="ctr"/>
        <c:lblOffset val="100"/>
        <c:noMultiLvlLbl val="0"/>
      </c:catAx>
      <c:valAx>
        <c:axId val="51172211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11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3987118" cy="236338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stanovnika Čačka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Čačak!$B$4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Čačak!$C$3:$T$3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Čačak!$C$4:$T$4</c:f>
              <c:numCache>
                <c:formatCode>General</c:formatCode>
                <c:ptCount val="18"/>
                <c:pt idx="0">
                  <c:v>7766</c:v>
                </c:pt>
                <c:pt idx="1">
                  <c:v>7437</c:v>
                </c:pt>
                <c:pt idx="2">
                  <c:v>6714</c:v>
                </c:pt>
                <c:pt idx="3">
                  <c:v>7529</c:v>
                </c:pt>
                <c:pt idx="4">
                  <c:v>8747</c:v>
                </c:pt>
                <c:pt idx="5">
                  <c:v>10579</c:v>
                </c:pt>
                <c:pt idx="6">
                  <c:v>8575</c:v>
                </c:pt>
                <c:pt idx="7">
                  <c:v>5943</c:v>
                </c:pt>
                <c:pt idx="8">
                  <c:v>8673</c:v>
                </c:pt>
                <c:pt idx="9">
                  <c:v>9515</c:v>
                </c:pt>
                <c:pt idx="10">
                  <c:v>8521</c:v>
                </c:pt>
                <c:pt idx="11">
                  <c:v>5969</c:v>
                </c:pt>
                <c:pt idx="12">
                  <c:v>4000</c:v>
                </c:pt>
                <c:pt idx="13">
                  <c:v>5289</c:v>
                </c:pt>
                <c:pt idx="14">
                  <c:v>5000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Čačak!$B$5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Čačak!$C$3:$T$3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Čačak!$C$5:$T$5</c:f>
              <c:numCache>
                <c:formatCode>General</c:formatCode>
                <c:ptCount val="18"/>
                <c:pt idx="0">
                  <c:v>6885</c:v>
                </c:pt>
                <c:pt idx="1">
                  <c:v>7789</c:v>
                </c:pt>
                <c:pt idx="2">
                  <c:v>7960</c:v>
                </c:pt>
                <c:pt idx="3">
                  <c:v>7659</c:v>
                </c:pt>
                <c:pt idx="4">
                  <c:v>7010</c:v>
                </c:pt>
                <c:pt idx="5">
                  <c:v>7626</c:v>
                </c:pt>
                <c:pt idx="6">
                  <c:v>8949</c:v>
                </c:pt>
                <c:pt idx="7">
                  <c:v>10585</c:v>
                </c:pt>
                <c:pt idx="8">
                  <c:v>8593</c:v>
                </c:pt>
                <c:pt idx="9">
                  <c:v>5815</c:v>
                </c:pt>
                <c:pt idx="10">
                  <c:v>8264</c:v>
                </c:pt>
                <c:pt idx="11">
                  <c:v>8813</c:v>
                </c:pt>
                <c:pt idx="12">
                  <c:v>7776</c:v>
                </c:pt>
                <c:pt idx="13">
                  <c:v>5828</c:v>
                </c:pt>
                <c:pt idx="14">
                  <c:v>2554</c:v>
                </c:pt>
                <c:pt idx="15">
                  <c:v>2012</c:v>
                </c:pt>
                <c:pt idx="16">
                  <c:v>1544</c:v>
                </c:pt>
                <c:pt idx="17">
                  <c:v>714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Čačak!$B$6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Čačak!$C$3:$T$3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Čačak!$C$6:$T$6</c:f>
              <c:numCache>
                <c:formatCode>General</c:formatCode>
                <c:ptCount val="18"/>
                <c:pt idx="0">
                  <c:v>5069</c:v>
                </c:pt>
                <c:pt idx="1">
                  <c:v>5876</c:v>
                </c:pt>
                <c:pt idx="2">
                  <c:v>6794</c:v>
                </c:pt>
                <c:pt idx="3">
                  <c:v>8093</c:v>
                </c:pt>
                <c:pt idx="4">
                  <c:v>8079</c:v>
                </c:pt>
                <c:pt idx="5">
                  <c:v>7765</c:v>
                </c:pt>
                <c:pt idx="6">
                  <c:v>7020</c:v>
                </c:pt>
                <c:pt idx="7">
                  <c:v>7592</c:v>
                </c:pt>
                <c:pt idx="8">
                  <c:v>8896</c:v>
                </c:pt>
                <c:pt idx="9">
                  <c:v>10579</c:v>
                </c:pt>
                <c:pt idx="10">
                  <c:v>8501</c:v>
                </c:pt>
                <c:pt idx="11">
                  <c:v>5580</c:v>
                </c:pt>
                <c:pt idx="12">
                  <c:v>7259</c:v>
                </c:pt>
                <c:pt idx="13">
                  <c:v>7433</c:v>
                </c:pt>
                <c:pt idx="14">
                  <c:v>6076</c:v>
                </c:pt>
                <c:pt idx="15">
                  <c:v>3880</c:v>
                </c:pt>
                <c:pt idx="16">
                  <c:v>2009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Čačak!$B$7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Čačak!$C$3:$T$3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Čačak!$C$7:$T$7</c:f>
              <c:numCache>
                <c:formatCode>General</c:formatCode>
                <c:ptCount val="18"/>
                <c:pt idx="0">
                  <c:v>5117</c:v>
                </c:pt>
                <c:pt idx="1">
                  <c:v>5643</c:v>
                </c:pt>
                <c:pt idx="2">
                  <c:v>5445</c:v>
                </c:pt>
                <c:pt idx="3">
                  <c:v>6272</c:v>
                </c:pt>
                <c:pt idx="4">
                  <c:v>7121</c:v>
                </c:pt>
                <c:pt idx="5">
                  <c:v>7524</c:v>
                </c:pt>
                <c:pt idx="6">
                  <c:v>7583</c:v>
                </c:pt>
                <c:pt idx="7">
                  <c:v>7685</c:v>
                </c:pt>
                <c:pt idx="8">
                  <c:v>7190</c:v>
                </c:pt>
                <c:pt idx="9">
                  <c:v>7901</c:v>
                </c:pt>
                <c:pt idx="10">
                  <c:v>8837</c:v>
                </c:pt>
                <c:pt idx="11">
                  <c:v>10213</c:v>
                </c:pt>
                <c:pt idx="12">
                  <c:v>7925</c:v>
                </c:pt>
                <c:pt idx="13">
                  <c:v>5077</c:v>
                </c:pt>
                <c:pt idx="14">
                  <c:v>6129</c:v>
                </c:pt>
                <c:pt idx="15">
                  <c:v>5207</c:v>
                </c:pt>
                <c:pt idx="16">
                  <c:v>3051</c:v>
                </c:pt>
                <c:pt idx="17">
                  <c:v>1417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Čačak!$B$8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Čačak!$C$3:$T$3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Čačak!$C$8:$T$8</c:f>
              <c:numCache>
                <c:formatCode>General</c:formatCode>
                <c:ptCount val="18"/>
                <c:pt idx="0">
                  <c:v>4823</c:v>
                </c:pt>
                <c:pt idx="1">
                  <c:v>5052</c:v>
                </c:pt>
                <c:pt idx="2">
                  <c:v>5284</c:v>
                </c:pt>
                <c:pt idx="3">
                  <c:v>5589</c:v>
                </c:pt>
                <c:pt idx="4">
                  <c:v>5018</c:v>
                </c:pt>
                <c:pt idx="5">
                  <c:v>5449</c:v>
                </c:pt>
                <c:pt idx="6">
                  <c:v>5960</c:v>
                </c:pt>
                <c:pt idx="7">
                  <c:v>7014</c:v>
                </c:pt>
                <c:pt idx="8">
                  <c:v>7298</c:v>
                </c:pt>
                <c:pt idx="9">
                  <c:v>7458</c:v>
                </c:pt>
                <c:pt idx="10">
                  <c:v>7103</c:v>
                </c:pt>
                <c:pt idx="11">
                  <c:v>7118</c:v>
                </c:pt>
                <c:pt idx="12">
                  <c:v>8030</c:v>
                </c:pt>
                <c:pt idx="13">
                  <c:v>8560</c:v>
                </c:pt>
                <c:pt idx="14">
                  <c:v>6860</c:v>
                </c:pt>
                <c:pt idx="15">
                  <c:v>3565</c:v>
                </c:pt>
                <c:pt idx="16">
                  <c:v>3141</c:v>
                </c:pt>
                <c:pt idx="17">
                  <c:v>2290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125"/>
        <c:axId val="511722126"/>
      </c:lineChart>
      <c:catAx>
        <c:axId val="511722125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126"/>
        <c:crosses val="autoZero"/>
        <c:auto val="1"/>
        <c:lblAlgn val="ctr"/>
        <c:lblOffset val="100"/>
        <c:noMultiLvlLbl val="0"/>
      </c:catAx>
      <c:valAx>
        <c:axId val="51172212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12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2024-12-30T22:04:06Z</dcterms:modified>
</cp:coreProperties>
</file>